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tLeast" w:line="225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eastAsia="ru-RU"/>
        </w:rPr>
        <w:t>Ответы на вопросы, поступившие до начала публичного мероприятия</w:t>
      </w:r>
    </w:p>
    <w:p>
      <w:pPr>
        <w:pStyle w:val="Normal"/>
        <w:shd w:val="clear" w:color="auto" w:fill="FFFFFF"/>
        <w:spacing w:lineRule="atLeast" w:line="225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bCs/>
          <w:color w:val="4682C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4682C3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0" w:right="0" w:firstLine="567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Вопрос 1: </w:t>
      </w:r>
    </w:p>
    <w:p>
      <w:pPr>
        <w:pStyle w:val="Normal"/>
        <w:widowControl w:val="false"/>
        <w:spacing w:lineRule="auto" w:line="240" w:before="0" w:after="0"/>
        <w:ind w:left="0" w:right="0" w:firstLine="567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none"/>
        </w:rPr>
        <w:t>Требуется ли получение разрешения Ростехнадзора на допуск</w:t>
      </w:r>
      <w:r>
        <w:rPr>
          <w:rFonts w:ascii="Times New Roman" w:hAnsi="Times New Roman"/>
          <w:color w:val="000000"/>
          <w:sz w:val="28"/>
          <w:szCs w:val="28"/>
          <w:u w:val="none"/>
        </w:rPr>
        <w:br/>
      </w:r>
      <w:r>
        <w:rPr>
          <w:rFonts w:eastAsia="Times New Roman" w:cs="Times New Roman" w:ascii="Times New Roman" w:hAnsi="Times New Roman"/>
          <w:color w:val="000000"/>
          <w:sz w:val="28"/>
          <w:szCs w:val="28"/>
          <w:u w:val="none"/>
        </w:rPr>
        <w:t>в эксплуатацию при реконструкции теплового узла с тепловой нагрузкой менее 0,05 Гкал/час?</w:t>
      </w:r>
    </w:p>
    <w:p>
      <w:pPr>
        <w:pStyle w:val="Normal"/>
        <w:widowControl w:val="false"/>
        <w:spacing w:lineRule="auto" w:line="240" w:before="0" w:after="0"/>
        <w:ind w:firstLine="567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>Ответ: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u w:val="none"/>
        </w:rPr>
        <w:t>Нет, согласно пункту 36 «Правил организации теплоснабжения», утверждённых постановлением Правительства Российской Федерации</w:t>
        <w:br/>
        <w:t>от 8 августа 2012 года № 808, для теплопотребляющих установок с тепловой нагрузкой менее 0,05 Гкал/час, не являющихся объектами капитального строительства, разрешение на допуск в эксплуатацию не требуется.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/>
          <w:color w:val="000000"/>
          <w:sz w:val="28"/>
          <w:szCs w:val="28"/>
          <w:u w:val="none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u w:val="none"/>
        </w:rPr>
      </w:r>
    </w:p>
    <w:p>
      <w:pPr>
        <w:pStyle w:val="Normal"/>
        <w:widowControl w:val="false"/>
        <w:spacing w:lineRule="auto" w:line="240" w:before="0" w:after="0"/>
        <w:ind w:firstLine="567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Вопрос 2: 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u w:val="none"/>
        </w:rPr>
        <w:t>Разрешено ли включать в комиссию по проверке знаний на предприятиях электроэнергетики специалиста по охране труда в комиссию по проверке знаний на предприятиях электроэнергетики?</w:t>
      </w:r>
    </w:p>
    <w:p>
      <w:pPr>
        <w:pStyle w:val="Normal"/>
        <w:widowControl w:val="false"/>
        <w:spacing w:lineRule="auto" w:line="240" w:before="0" w:after="0"/>
        <w:ind w:firstLine="567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>Ответ: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none"/>
        </w:rPr>
        <w:t>Согласно пункту 51 Правил работы с персоналом в организациях электроэнергетики Российской Федерации, утвержденных приказом Министерства энергетики Российской Федерации от 22 сентября 2020 г. № 796 (далее – ПРП), комиссия по проверке знаний должна состоять не менее чем</w:t>
        <w:br/>
        <w:t>из пяти человек, включая председателя и заместителя(ей) председателя комиссии. В состав комиссии по проверке знаний должны включаться работники из числа административно-технического персонала организации (ее филиала, представительства) по направлениям проверки знаний.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u w:val="none"/>
        </w:rPr>
        <w:t>Учитывая вышеизложенное, ПРП не предусмотрена возможность включения специалиста по охране труда в комиссию по проверке знаний</w:t>
        <w:br/>
        <w:t>на предприятиях электроэнергетики и на предприятиях, являющихся потребителями электроэнергии, ввиду того, что специалисты по охране труда</w:t>
        <w:br/>
        <w:t>не относятся к категории административно-технического персонала</w:t>
      </w:r>
      <w:bookmarkStart w:id="0" w:name="_GoBack"/>
      <w:bookmarkEnd w:id="0"/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u w:val="none"/>
        </w:rPr>
        <w:t>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none"/>
        </w:rPr>
      </w:r>
    </w:p>
    <w:p>
      <w:pPr>
        <w:pStyle w:val="Normal"/>
        <w:spacing w:lineRule="auto" w:line="240" w:before="0" w:after="0"/>
        <w:ind w:hanging="0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u w:val="none"/>
        </w:rPr>
        <w:tab/>
      </w:r>
      <w:bookmarkStart w:id="1" w:name="_GoBack11"/>
      <w:r>
        <w:rPr>
          <w:rFonts w:cs="Times New Roman" w:ascii="Times New Roman" w:hAnsi="Times New Roman"/>
          <w:b/>
          <w:color w:val="000000"/>
          <w:sz w:val="28"/>
          <w:szCs w:val="28"/>
          <w:u w:val="none"/>
        </w:rPr>
        <w:t xml:space="preserve">Вопрос </w:t>
      </w:r>
      <w:r>
        <w:rPr>
          <w:rFonts w:cs="Times New Roman" w:ascii="Times New Roman" w:hAnsi="Times New Roman"/>
          <w:b/>
          <w:color w:val="000000"/>
          <w:sz w:val="28"/>
          <w:szCs w:val="28"/>
          <w:u w:val="none"/>
        </w:rPr>
        <w:t>3</w:t>
      </w:r>
      <w:r>
        <w:rPr>
          <w:rFonts w:cs="Times New Roman" w:ascii="Times New Roman" w:hAnsi="Times New Roman"/>
          <w:b/>
          <w:color w:val="000000"/>
          <w:sz w:val="28"/>
          <w:szCs w:val="28"/>
          <w:u w:val="none"/>
        </w:rPr>
        <w:t xml:space="preserve">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cs="Times New Roman" w:ascii="Times New Roman" w:hAnsi="Times New Roman"/>
          <w:color w:val="000000"/>
          <w:sz w:val="28"/>
          <w:szCs w:val="28"/>
          <w:u w:val="none"/>
        </w:rPr>
        <w:t>В случае утери паспорта лифта, какие действия должен предпринять владелец? Допустима ли эксплуатация лифта при отсутствии/утери паспорта?</w:t>
      </w:r>
    </w:p>
    <w:p>
      <w:pPr>
        <w:pStyle w:val="Normal"/>
        <w:widowControl w:val="false"/>
        <w:spacing w:lineRule="auto" w:line="240" w:before="0" w:after="0"/>
        <w:ind w:hanging="0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ab/>
        <w:t>Ответ:</w:t>
      </w:r>
    </w:p>
    <w:p>
      <w:pPr>
        <w:pStyle w:val="Style19"/>
        <w:widowControl w:val="false"/>
        <w:spacing w:lineRule="auto" w:line="240" w:before="0" w:after="0"/>
        <w:ind w:hanging="0"/>
        <w:jc w:val="both"/>
        <w:rPr>
          <w:rFonts w:ascii="Times New Roman" w:hAnsi="Times New Roman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ab/>
        <w:t>Согласно статье 2 Технического регламента Таможенного союза "Безопасность лифтов" ТР ТС 011/2011 (далее – Технический регламент) паспорт лифта - документ, содержащий сведения об изготовителе, дате изготовления лифта и его заводском номере, основные технические данные и характеристики лифта и его оборудования, сведения об устройствах безопасности, назначенном сроке службы лифта, а также предназначенный для внесения сведений в период эксплуатации.</w:t>
      </w:r>
    </w:p>
    <w:p>
      <w:pPr>
        <w:pStyle w:val="Style19"/>
        <w:widowControl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ab/>
        <w:t>В соответствии с пунктом 3.5 Технического регламента паспорт лифта</w:t>
        <w:br/>
        <w:t>и декларация о соответствии лифта требованиям регламента подлежат хранению в течение назначенного срока службы лифта.</w:t>
      </w:r>
    </w:p>
    <w:p>
      <w:pPr>
        <w:pStyle w:val="Style19"/>
        <w:widowControl/>
        <w:spacing w:lineRule="auto" w:line="240" w:before="0" w:after="0"/>
        <w:ind w:left="0" w:right="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ab/>
        <w:t xml:space="preserve">Согласно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статье 3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Технического регламента паспорт лифта является частью сопроводительной документации, поставляемой изготовителем совместно с выпускаемым в обращение лифтом. Для восстановления утраченного паспорта либо другой сопроводительной документации необходимо обращаться к изготовителю лифта.</w:t>
      </w:r>
    </w:p>
    <w:p>
      <w:pPr>
        <w:pStyle w:val="Style19"/>
        <w:widowControl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ab/>
        <w:t>Изготовленный дубликат должен отвечать требованиям к паспорту лифта, установленным статьей 2 Технического регламента.</w:t>
      </w:r>
    </w:p>
    <w:p>
      <w:pPr>
        <w:pStyle w:val="Style19"/>
        <w:widowControl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ab/>
        <w:t>Ведение, восстановление паспорта лифтового хозяйства согласно ГОСТ</w:t>
        <w:br/>
        <w:t>Р 56192-2014. Национальный стандарт Российской Федерации. Услуги жилищно-коммунального хозяйства и управления многоквартирными домами. Услуги содержания общего имущества многоквартирных домов. Общие требования, утвержденного приказом Росстандарта от 27.10.2014 № 1444-ст включено</w:t>
        <w:br/>
        <w:t>в состав работ, выполнение которых обеспечивает оказание услуги содержания общего имущества многоквартирного дома.​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bookmarkEnd w:id="1"/>
      <w:r>
        <w:rPr>
          <w:rFonts w:cs="Times New Roman" w:ascii="Times New Roman" w:hAnsi="Times New Roman"/>
          <w:b/>
          <w:color w:val="000000"/>
          <w:sz w:val="28"/>
          <w:szCs w:val="28"/>
          <w:u w:val="none"/>
        </w:rPr>
        <w:t xml:space="preserve">Вопрос </w:t>
      </w:r>
      <w:r>
        <w:rPr>
          <w:rFonts w:cs="Times New Roman" w:ascii="Times New Roman" w:hAnsi="Times New Roman"/>
          <w:b/>
          <w:color w:val="000000"/>
          <w:sz w:val="28"/>
          <w:szCs w:val="28"/>
          <w:u w:val="none"/>
        </w:rPr>
        <w:t>4</w:t>
      </w:r>
      <w:r>
        <w:rPr>
          <w:rFonts w:cs="Times New Roman" w:ascii="Times New Roman" w:hAnsi="Times New Roman"/>
          <w:b/>
          <w:color w:val="000000"/>
          <w:sz w:val="28"/>
          <w:szCs w:val="28"/>
          <w:u w:val="none"/>
        </w:rPr>
        <w:t xml:space="preserve">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</w:rPr>
        <w:t>В состав опасного производственного объекта (ОПО) - системы теплоснабжения входят газифицированные водогрейные котельные. Часть арендованных котельных не включен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</w:rPr>
        <w:t>а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</w:rPr>
        <w:t xml:space="preserve"> в реестр лицензий. Прошу дать разъяснения о порядке включения данных котельных в реестр лицензий</w:t>
        <w:br/>
        <w:t>из состава ОПО  системы теплоснабжения, а именно, о необходимости вывода</w:t>
        <w:br/>
        <w:t xml:space="preserve">из состава ОПО системы теплоснабжения всех котельных с дальнейшим включением каждой котельной в отдельное ОПО. 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Ответ: 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none"/>
          <w:lang w:eastAsia="zh-CN"/>
        </w:rPr>
        <w:t>В соответствии с пунктом 27 Требований к регистрации объектов</w:t>
        <w:br/>
        <w:t>в государственном реестре опасных производственных объектов и ведению государственного реестра опасных производственных объектов, формы свидетельства о регистрации опасных производственных объектов</w:t>
        <w:br/>
        <w:t>в государственном реестре опасных производственных объектов, утвержденных приказом  Ростехнадзора от 30.11.2020 N 471, основаниями для внесения изменений в сведения, содержащиеся в государственном реестре опасных производственных объектов, являются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none"/>
          <w:lang w:eastAsia="zh-CN"/>
        </w:rPr>
        <w:t>1) характеристик опасного производственного объекта: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none"/>
          <w:lang w:eastAsia="zh-CN"/>
        </w:rPr>
        <w:t>1.1) внесение изменений (в том числе в параметры, количество и место эксплуатации) или исключение из него предприятий или их цехов, участков, площадок, наружных установок, зданий и сооружений, технических устройств, эксплуатация которых обусловливает признак опасности в соответствии</w:t>
        <w:br/>
        <w:t>с приложениями 1 и 2 к Федеральному закону "О промышленной безопасности опасных производственных объектов";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none"/>
          <w:lang w:eastAsia="zh-CN"/>
        </w:rPr>
        <w:t>1.2) внесение изменений состава опасного производственного объекта;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none"/>
          <w:lang w:eastAsia="zh-CN"/>
        </w:rPr>
        <w:t>1.3) внесение изменений состава технических устройств (замена оборудования или реконструкция, модернизация, исключение, использование</w:t>
        <w:br/>
        <w:t>на опасном производственном объекте новых (дополнительных) технических устройств, эксплуатация которых обусловливает признаки опасности, перечисленные в приложении 1 к Федеральному закону "О промышленной безопасности опасных производственных объектов";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none"/>
          <w:lang w:eastAsia="zh-CN"/>
        </w:rPr>
        <w:t>1.4) изменение технологического процесса;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none"/>
          <w:lang w:eastAsia="zh-CN"/>
        </w:rPr>
        <w:t>1.5) изменение признаков или класса опасности опасного производственного объекта;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none"/>
          <w:lang w:eastAsia="zh-CN"/>
        </w:rPr>
        <w:t>1.6) изменение полного, типового наименования (именного кода) опасного производственного объекта;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none"/>
          <w:lang w:eastAsia="zh-CN"/>
        </w:rPr>
        <w:t>2) связанные с исключением опасного производственного объекта в связи со сменой эксплуатирующей организации;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none"/>
          <w:lang w:eastAsia="zh-CN"/>
        </w:rPr>
        <w:t>3) адреса места нахождения опасного производственного объекта;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none"/>
          <w:lang w:eastAsia="zh-CN"/>
        </w:rPr>
        <w:t>4) сведений об эксплуатирующей организации, собственнике опасного производственного объекта.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none"/>
          <w:lang w:eastAsia="zh-CN"/>
        </w:rPr>
        <w:t>Перечень документов, необходимых для предоставления государственной услуги по внесению изменений в сведения, содержащиеся в Реестре, определен пунктом 23 Административного регламента Федеральной службы</w:t>
        <w:br/>
        <w:t>по экологическому, технологическому и атомному надзору предоставления государственной услуги по регистрации опасных производственных объектов</w:t>
        <w:br/>
        <w:t>в государственном реестре опасных производственных объектов, утвержденного приказом Ростехнадзора от 08.04.2019 N 140.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none"/>
          <w:lang w:eastAsia="zh-CN"/>
        </w:rPr>
        <w:t>Информацию об интересующих государственных услугах, перечень документов для обращения, порядок оказания государственной услуги можно найти на Едином портале государственных  и муниципальных услуг (функций).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none"/>
          <w:lang w:eastAsia="zh-CN"/>
        </w:rPr>
        <w:t>Вся справочная информация доступна по ссылке: https://www.gosuslugi.ru/help.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  <w:u w:val="none"/>
        </w:rPr>
        <w:t xml:space="preserve">Вопрос </w:t>
      </w: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  <w:u w:val="none"/>
        </w:rPr>
        <w:t>5</w:t>
      </w: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  <w:u w:val="none"/>
        </w:rPr>
        <w:t>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  <w:u w:val="none"/>
        </w:rPr>
        <w:t>На официальном сайте Ростехнадзора изменилась форма реестра заключений экспертизы промышленной безопасности, в нем отсутствует информация об экспертных организациях, номерах удостоверений экспертов.</w:t>
        <w:br/>
        <w:t>С какой целью это сделано?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>Ответ: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cs="Times New Roman" w:ascii="Times New Roman" w:hAnsi="Times New Roman"/>
          <w:color w:val="000000"/>
          <w:sz w:val="28"/>
          <w:szCs w:val="28"/>
          <w:u w:val="none"/>
        </w:rPr>
        <w:tab/>
        <w:t>В настоящее время порядок предоставления государственной услуги «Внесение заключения экспертизы промышленной безопасности в реестр заключений экспертизы промышленной безопасности, а также исключение сведений из указанного реестра» (далее – Услуга) установлен Административным регламентом Федеральной службы по экологическому, технологическому и атомному надзору по предоставлению государственной услуги «Внесение заключения экспертизы промышленной безопасности</w:t>
        <w:br/>
        <w:t>в реестр заключений экспертизы промышленной безопасности, а также исключение сведений из указанного реестра», утвержденным приказом Ростехнадзора от 29 января 2025 г. № 30 (далее – Административный регламент № 30).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cs="Times New Roman" w:ascii="Times New Roman" w:hAnsi="Times New Roman"/>
          <w:color w:val="000000"/>
          <w:sz w:val="28"/>
          <w:szCs w:val="28"/>
          <w:u w:val="none"/>
        </w:rPr>
        <w:tab/>
        <w:t>Ранее государственная услуга по ведению реестра заключений экспертизы промышленной безопасности (далее – Реестр) предоставлялась в соответствии</w:t>
        <w:br/>
        <w:t>с Административным регламентом Федеральной службы по экологическому, технологическому и атомному надзору по предоставлению государственной услуги по ведению реестра заключений экспертизы промышленной безопасности, утвержденным приказом Ростехнадзора от 8 апреля 2019 г. № 141  (далее – Административный регламент № 141).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u w:val="none"/>
        </w:rPr>
        <w:t>Согласно пункту 69 Административного регламента № 141 структурное подразделение территориального органа Ростехнадзора, ответственное</w:t>
        <w:br/>
        <w:t>за ведение Реестра, публиковало сведения, содержащиеся в Реестре, не позднее десяти рабочих дней с даты внесения заключения экспертизы промышленной безопасности в Реестр на официальном сайте территориального органа Ростехнадзора в сети «Интернет» в соответствии с рекомендуемым образцом, приведенны</w:t>
      </w:r>
      <w:bookmarkStart w:id="2" w:name="_GoBack1"/>
      <w:bookmarkEnd w:id="2"/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u w:val="none"/>
        </w:rPr>
        <w:t>м в приложении № 5. Административным регламентом №30 порядок размещения сведений из Реестра не предусмотрен.</w:t>
      </w:r>
    </w:p>
    <w:sectPr>
      <w:type w:val="nextPage"/>
      <w:pgSz w:w="11906" w:h="16838"/>
      <w:pgMar w:left="1413" w:right="68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Нижний колонтитул Знак"/>
    <w:qFormat/>
    <w:rPr/>
  </w:style>
  <w:style w:type="character" w:styleId="Style15">
    <w:name w:val="Верхний колонтитул Знак"/>
    <w:qFormat/>
    <w:rPr/>
  </w:style>
  <w:style w:type="character" w:styleId="Style16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styleId="Style17">
    <w:name w:val="Интернет-ссылка"/>
    <w:basedOn w:val="DefaultParagraphFont"/>
    <w:rPr>
      <w:color w:val="0000FF" w:themeColor="hyperlink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 w:cs="Times New Roman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LibreOffice/7.2.4.1$Linux_X86_64 LibreOffice_project/20$Build-1</Application>
  <AppVersion>15.0000</AppVersion>
  <Pages>4</Pages>
  <Words>1162</Words>
  <Characters>7358</Characters>
  <CharactersWithSpaces>8306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ru-RU</dc:language>
  <cp:lastModifiedBy/>
  <cp:lastPrinted>2025-09-25T09:30:38Z</cp:lastPrinted>
  <dcterms:modified xsi:type="dcterms:W3CDTF">2025-09-25T14:27:41Z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